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19E" w:rsidRDefault="0002219E" w:rsidP="002B1C13">
      <w:pPr>
        <w:jc w:val="center"/>
        <w:rPr>
          <w:rFonts w:ascii="標楷體"/>
          <w:b/>
          <w:sz w:val="28"/>
          <w:szCs w:val="28"/>
        </w:rPr>
      </w:pPr>
      <w:bookmarkStart w:id="0" w:name="_GoBack"/>
      <w:r w:rsidRPr="003E2F96">
        <w:rPr>
          <w:rFonts w:ascii="標楷體" w:hAnsi="標楷體" w:hint="eastAsia"/>
          <w:b/>
          <w:sz w:val="28"/>
          <w:szCs w:val="28"/>
        </w:rPr>
        <w:t>南投縣國民中小學校園餘裕空間活化實施要點</w:t>
      </w:r>
    </w:p>
    <w:bookmarkEnd w:id="0"/>
    <w:p w:rsidR="0002219E" w:rsidRPr="003210FD" w:rsidRDefault="000272F1" w:rsidP="003210FD">
      <w:pPr>
        <w:jc w:val="right"/>
        <w:rPr>
          <w:rFonts w:ascii="標楷體"/>
          <w:b/>
          <w:sz w:val="28"/>
          <w:szCs w:val="28"/>
        </w:rPr>
      </w:pPr>
      <w:r>
        <w:rPr>
          <w:rFonts w:ascii="Arial" w:hAnsi="Arial" w:cs="Arial" w:hint="eastAsia"/>
          <w:color w:val="000000"/>
          <w:sz w:val="14"/>
          <w:szCs w:val="14"/>
          <w:shd w:val="clear" w:color="auto" w:fill="FFFFFF"/>
        </w:rPr>
        <w:t>中華民國</w:t>
      </w:r>
      <w:r w:rsidR="0002219E">
        <w:rPr>
          <w:rFonts w:ascii="Arial" w:hAnsi="Arial" w:cs="Arial"/>
          <w:color w:val="000000"/>
          <w:sz w:val="14"/>
          <w:szCs w:val="14"/>
          <w:shd w:val="clear" w:color="auto" w:fill="FFFFFF"/>
        </w:rPr>
        <w:t>105</w:t>
      </w:r>
      <w:r w:rsidR="0002219E">
        <w:rPr>
          <w:rFonts w:ascii="Arial" w:hAnsi="Arial" w:cs="Arial" w:hint="eastAsia"/>
          <w:color w:val="000000"/>
          <w:sz w:val="14"/>
          <w:szCs w:val="14"/>
          <w:shd w:val="clear" w:color="auto" w:fill="FFFFFF"/>
        </w:rPr>
        <w:t>年</w:t>
      </w:r>
      <w:r w:rsidR="0002219E">
        <w:rPr>
          <w:rFonts w:ascii="Arial" w:hAnsi="Arial" w:cs="Arial"/>
          <w:color w:val="000000"/>
          <w:sz w:val="14"/>
          <w:szCs w:val="14"/>
          <w:shd w:val="clear" w:color="auto" w:fill="FFFFFF"/>
        </w:rPr>
        <w:t>2</w:t>
      </w:r>
      <w:r w:rsidR="0002219E">
        <w:rPr>
          <w:rFonts w:ascii="Arial" w:hAnsi="Arial" w:cs="Arial" w:hint="eastAsia"/>
          <w:color w:val="000000"/>
          <w:sz w:val="14"/>
          <w:szCs w:val="14"/>
          <w:shd w:val="clear" w:color="auto" w:fill="FFFFFF"/>
        </w:rPr>
        <w:t>月</w:t>
      </w:r>
      <w:r w:rsidR="0002219E">
        <w:rPr>
          <w:rFonts w:ascii="Arial" w:hAnsi="Arial" w:cs="Arial"/>
          <w:color w:val="000000"/>
          <w:sz w:val="14"/>
          <w:szCs w:val="14"/>
          <w:shd w:val="clear" w:color="auto" w:fill="FFFFFF"/>
        </w:rPr>
        <w:t>16</w:t>
      </w:r>
      <w:r w:rsidR="0002219E">
        <w:rPr>
          <w:rFonts w:ascii="Arial" w:hAnsi="Arial" w:cs="Arial" w:hint="eastAsia"/>
          <w:color w:val="000000"/>
          <w:sz w:val="14"/>
          <w:szCs w:val="14"/>
          <w:shd w:val="clear" w:color="auto" w:fill="FFFFFF"/>
        </w:rPr>
        <w:t>日府教國字第</w:t>
      </w:r>
      <w:r w:rsidR="0002219E">
        <w:rPr>
          <w:rFonts w:ascii="Arial" w:hAnsi="Arial" w:cs="Arial"/>
          <w:color w:val="000000"/>
          <w:sz w:val="14"/>
          <w:szCs w:val="14"/>
          <w:shd w:val="clear" w:color="auto" w:fill="FFFFFF"/>
        </w:rPr>
        <w:t>1050034038</w:t>
      </w:r>
      <w:r w:rsidR="00E97126">
        <w:rPr>
          <w:rFonts w:ascii="Arial" w:hAnsi="Arial" w:cs="Arial" w:hint="eastAsia"/>
          <w:color w:val="000000"/>
          <w:sz w:val="14"/>
          <w:szCs w:val="14"/>
          <w:shd w:val="clear" w:color="auto" w:fill="FFFFFF"/>
        </w:rPr>
        <w:t>號函頒</w:t>
      </w:r>
    </w:p>
    <w:p w:rsidR="0002219E" w:rsidRPr="003E2F96" w:rsidRDefault="0002219E" w:rsidP="00D328AB">
      <w:pPr>
        <w:numPr>
          <w:ilvl w:val="0"/>
          <w:numId w:val="1"/>
        </w:numPr>
        <w:jc w:val="both"/>
        <w:rPr>
          <w:rFonts w:ascii="標楷體"/>
          <w:szCs w:val="24"/>
        </w:rPr>
      </w:pPr>
      <w:r w:rsidRPr="003E2F96">
        <w:rPr>
          <w:rFonts w:ascii="標楷體" w:hAnsi="標楷體" w:hint="eastAsia"/>
          <w:szCs w:val="24"/>
        </w:rPr>
        <w:t>南投縣政府（以下簡稱本府）為使南投縣立國民中學及國民小學（以下簡稱學校）妥善運用餘裕空間，規劃多元活化用途，發揮最大教育經濟效益，以提升教育品質、整合資源及有效活化利用之目的，特訂定本要點。</w:t>
      </w:r>
    </w:p>
    <w:p w:rsidR="0002219E" w:rsidRPr="003E2F96" w:rsidRDefault="0002219E" w:rsidP="00D328AB">
      <w:pPr>
        <w:numPr>
          <w:ilvl w:val="0"/>
          <w:numId w:val="1"/>
        </w:numPr>
        <w:jc w:val="both"/>
        <w:rPr>
          <w:rFonts w:ascii="標楷體"/>
          <w:szCs w:val="24"/>
        </w:rPr>
      </w:pPr>
      <w:r w:rsidRPr="003E2F96">
        <w:rPr>
          <w:rFonts w:ascii="標楷體" w:hAnsi="標楷體" w:hint="eastAsia"/>
          <w:szCs w:val="24"/>
        </w:rPr>
        <w:t>本要點所稱餘裕空間，指依據教育部國民中小學設備基準（不含專科教室）與各學校依設備基準推算後認定之學校可供作其他用途之空間。</w:t>
      </w:r>
    </w:p>
    <w:p w:rsidR="0002219E" w:rsidRPr="003E2F96" w:rsidRDefault="0002219E" w:rsidP="00D328AB">
      <w:pPr>
        <w:numPr>
          <w:ilvl w:val="0"/>
          <w:numId w:val="1"/>
        </w:numPr>
        <w:jc w:val="both"/>
        <w:rPr>
          <w:rFonts w:ascii="標楷體"/>
          <w:szCs w:val="24"/>
        </w:rPr>
      </w:pPr>
      <w:r w:rsidRPr="003E2F96">
        <w:rPr>
          <w:rFonts w:ascii="標楷體" w:hAnsi="標楷體" w:hint="eastAsia"/>
          <w:szCs w:val="24"/>
        </w:rPr>
        <w:t>學校辦理餘裕空間活化時，應遵循下列原則：</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維護受教權益：餘裕空間活化，應以教學為優先，維護學生受教權益。</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保障校園安全：校舍開放使用，應以維護校園安全為首要，並以完成</w:t>
      </w:r>
      <w:r w:rsidRPr="003E2F96">
        <w:rPr>
          <w:rFonts w:ascii="標楷體" w:hAnsi="標楷體"/>
          <w:szCs w:val="24"/>
        </w:rPr>
        <w:t xml:space="preserve">     </w:t>
      </w:r>
      <w:r w:rsidRPr="003E2F96">
        <w:rPr>
          <w:rFonts w:ascii="標楷體" w:hAnsi="標楷體" w:hint="eastAsia"/>
          <w:szCs w:val="24"/>
        </w:rPr>
        <w:t>集中配置、安全無虞且具有使用執照之建物，做為優先活化標的。</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彰顯公共利益：符應全縣性及區域性教育發展需求，另秉持弱勢人文關懷，積極考量滿足其需求，且以具公益性、公共性之用途者為限。</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兼顧多元需求：考量校園學習活動與活化利用方案之人員及活動屬性之不同，妥適規劃出入動線及活動空間，避免彼此干擾、促進多贏互惠。</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落實使用付費：秉持使用者付費為原則，餘裕空間活化利用應計收使用費及水、電費等相關費用。</w:t>
      </w:r>
    </w:p>
    <w:p w:rsidR="0002219E" w:rsidRPr="00D328AB" w:rsidRDefault="0002219E" w:rsidP="00D328AB">
      <w:pPr>
        <w:numPr>
          <w:ilvl w:val="1"/>
          <w:numId w:val="1"/>
        </w:numPr>
        <w:jc w:val="both"/>
        <w:rPr>
          <w:rFonts w:ascii="標楷體"/>
          <w:szCs w:val="24"/>
        </w:rPr>
      </w:pPr>
      <w:r w:rsidRPr="003E2F96">
        <w:rPr>
          <w:rFonts w:ascii="標楷體" w:hAnsi="標楷體" w:hint="eastAsia"/>
          <w:szCs w:val="24"/>
        </w:rPr>
        <w:t>確保永續精進：逐年檢討空間活化成效，修正調整活化措施，充分發揮校園空間功能，以精進教育品質、提升整體競爭力。</w:t>
      </w:r>
    </w:p>
    <w:p w:rsidR="0002219E" w:rsidRPr="003E2F96" w:rsidRDefault="0002219E" w:rsidP="00D328AB">
      <w:pPr>
        <w:numPr>
          <w:ilvl w:val="0"/>
          <w:numId w:val="1"/>
        </w:numPr>
        <w:jc w:val="both"/>
        <w:rPr>
          <w:rFonts w:ascii="標楷體"/>
          <w:szCs w:val="24"/>
        </w:rPr>
      </w:pPr>
      <w:r w:rsidRPr="003E2F96">
        <w:rPr>
          <w:rFonts w:ascii="標楷體" w:hAnsi="標楷體" w:hint="eastAsia"/>
          <w:szCs w:val="24"/>
        </w:rPr>
        <w:t>學校辦理餘裕空間活化利用，除配合本縣重大政策需求外，其辦理活化用途如下：</w:t>
      </w:r>
    </w:p>
    <w:p w:rsidR="0002219E" w:rsidRDefault="0002219E" w:rsidP="00D328AB">
      <w:pPr>
        <w:numPr>
          <w:ilvl w:val="1"/>
          <w:numId w:val="1"/>
        </w:numPr>
        <w:jc w:val="both"/>
        <w:rPr>
          <w:rFonts w:ascii="標楷體"/>
          <w:szCs w:val="24"/>
        </w:rPr>
      </w:pPr>
      <w:r>
        <w:rPr>
          <w:rFonts w:hint="eastAsia"/>
        </w:rPr>
        <w:t>幼兒教育：如公私立幼兒園及幼托機構等。</w:t>
      </w:r>
    </w:p>
    <w:p w:rsidR="0002219E" w:rsidRPr="00A00062" w:rsidRDefault="0002219E" w:rsidP="00D328AB">
      <w:pPr>
        <w:numPr>
          <w:ilvl w:val="1"/>
          <w:numId w:val="1"/>
        </w:numPr>
        <w:jc w:val="both"/>
        <w:rPr>
          <w:rFonts w:ascii="標楷體"/>
          <w:szCs w:val="24"/>
        </w:rPr>
      </w:pPr>
      <w:r>
        <w:rPr>
          <w:rFonts w:hint="eastAsia"/>
        </w:rPr>
        <w:t>社會教育機構：如社區大學、圖書館、博物館、文物陳列室、</w:t>
      </w:r>
      <w:r>
        <w:t xml:space="preserve"> </w:t>
      </w:r>
      <w:r>
        <w:rPr>
          <w:rFonts w:hint="eastAsia"/>
        </w:rPr>
        <w:t>科學教育館、童軍場所等。</w:t>
      </w:r>
    </w:p>
    <w:p w:rsidR="0002219E" w:rsidRPr="00A00062" w:rsidRDefault="0002219E" w:rsidP="00D328AB">
      <w:pPr>
        <w:numPr>
          <w:ilvl w:val="1"/>
          <w:numId w:val="1"/>
        </w:numPr>
        <w:jc w:val="both"/>
        <w:rPr>
          <w:rFonts w:ascii="標楷體"/>
          <w:szCs w:val="24"/>
        </w:rPr>
      </w:pPr>
      <w:r>
        <w:rPr>
          <w:rFonts w:hint="eastAsia"/>
        </w:rPr>
        <w:t>社會福利：如社區照顧中心、老人福利中心、身心障礙休閒中</w:t>
      </w:r>
      <w:r>
        <w:t xml:space="preserve"> </w:t>
      </w:r>
      <w:r>
        <w:rPr>
          <w:rFonts w:hint="eastAsia"/>
        </w:rPr>
        <w:t>心等。</w:t>
      </w:r>
      <w:r>
        <w:t xml:space="preserve"> </w:t>
      </w:r>
    </w:p>
    <w:p w:rsidR="0002219E" w:rsidRPr="00A00062" w:rsidRDefault="0002219E" w:rsidP="00D328AB">
      <w:pPr>
        <w:numPr>
          <w:ilvl w:val="1"/>
          <w:numId w:val="1"/>
        </w:numPr>
        <w:jc w:val="both"/>
        <w:rPr>
          <w:rFonts w:ascii="標楷體"/>
          <w:szCs w:val="24"/>
        </w:rPr>
      </w:pPr>
      <w:r>
        <w:rPr>
          <w:rFonts w:hint="eastAsia"/>
        </w:rPr>
        <w:t>藝文展演或活動空間用途：如藝術工作室、藝術館、音樂館等。</w:t>
      </w:r>
    </w:p>
    <w:p w:rsidR="0002219E" w:rsidRPr="00A00062" w:rsidRDefault="0002219E" w:rsidP="00D328AB">
      <w:pPr>
        <w:numPr>
          <w:ilvl w:val="1"/>
          <w:numId w:val="1"/>
        </w:numPr>
        <w:jc w:val="both"/>
        <w:rPr>
          <w:rFonts w:ascii="標楷體"/>
          <w:szCs w:val="24"/>
        </w:rPr>
      </w:pPr>
      <w:r>
        <w:rPr>
          <w:rFonts w:hint="eastAsia"/>
        </w:rPr>
        <w:t>課後輔導或弱勢者教育用途。</w:t>
      </w:r>
    </w:p>
    <w:p w:rsidR="0002219E" w:rsidRPr="00A00062" w:rsidRDefault="0002219E" w:rsidP="00D328AB">
      <w:pPr>
        <w:numPr>
          <w:ilvl w:val="1"/>
          <w:numId w:val="1"/>
        </w:numPr>
        <w:jc w:val="both"/>
        <w:rPr>
          <w:rFonts w:ascii="標楷體"/>
          <w:szCs w:val="24"/>
        </w:rPr>
      </w:pPr>
      <w:r w:rsidRPr="00D328AB">
        <w:rPr>
          <w:rFonts w:ascii="標楷體" w:hAnsi="標楷體" w:hint="eastAsia"/>
          <w:szCs w:val="24"/>
        </w:rPr>
        <w:t>不影響</w:t>
      </w:r>
      <w:r>
        <w:rPr>
          <w:rFonts w:hint="eastAsia"/>
        </w:rPr>
        <w:t>教學下，體育館、游泳池等體育場地及停車場得開放民</w:t>
      </w:r>
      <w:r>
        <w:t xml:space="preserve"> </w:t>
      </w:r>
      <w:r>
        <w:rPr>
          <w:rFonts w:hint="eastAsia"/>
        </w:rPr>
        <w:t>間承租。</w:t>
      </w:r>
    </w:p>
    <w:p w:rsidR="0002219E" w:rsidRPr="00A00062" w:rsidRDefault="0002219E" w:rsidP="00D328AB">
      <w:pPr>
        <w:numPr>
          <w:ilvl w:val="1"/>
          <w:numId w:val="1"/>
        </w:numPr>
        <w:jc w:val="both"/>
        <w:rPr>
          <w:rFonts w:ascii="標楷體"/>
          <w:szCs w:val="24"/>
        </w:rPr>
      </w:pPr>
      <w:r>
        <w:rPr>
          <w:rFonts w:hint="eastAsia"/>
        </w:rPr>
        <w:t>配合教育政策或計畫設置機構如新移民學習中心、樂齡學習中</w:t>
      </w:r>
      <w:r>
        <w:t xml:space="preserve"> </w:t>
      </w:r>
      <w:r>
        <w:rPr>
          <w:rFonts w:hint="eastAsia"/>
        </w:rPr>
        <w:t>心、成人教育中心、社區終身學習中心、樂活運動站、偏鄉學</w:t>
      </w:r>
      <w:r>
        <w:t xml:space="preserve"> </w:t>
      </w:r>
      <w:r>
        <w:rPr>
          <w:rFonts w:hint="eastAsia"/>
        </w:rPr>
        <w:t>校數位機會中心、能</w:t>
      </w:r>
      <w:r>
        <w:t>(</w:t>
      </w:r>
      <w:r>
        <w:rPr>
          <w:rFonts w:hint="eastAsia"/>
        </w:rPr>
        <w:t>資</w:t>
      </w:r>
      <w:r>
        <w:t>)</w:t>
      </w:r>
      <w:r>
        <w:rPr>
          <w:rFonts w:hint="eastAsia"/>
        </w:rPr>
        <w:t>源教育中心、教師研習中心、特教資</w:t>
      </w:r>
      <w:r>
        <w:t xml:space="preserve"> </w:t>
      </w:r>
      <w:r>
        <w:rPr>
          <w:rFonts w:hint="eastAsia"/>
        </w:rPr>
        <w:t>源中心等。</w:t>
      </w:r>
    </w:p>
    <w:p w:rsidR="0002219E" w:rsidRPr="00A00062" w:rsidRDefault="0002219E" w:rsidP="00D328AB">
      <w:pPr>
        <w:numPr>
          <w:ilvl w:val="1"/>
          <w:numId w:val="1"/>
        </w:numPr>
        <w:jc w:val="both"/>
        <w:rPr>
          <w:rFonts w:ascii="標楷體"/>
          <w:szCs w:val="24"/>
        </w:rPr>
      </w:pPr>
      <w:r>
        <w:rPr>
          <w:rFonts w:hint="eastAsia"/>
        </w:rPr>
        <w:t>政府機關場所。</w:t>
      </w:r>
      <w:r>
        <w:t xml:space="preserve"> </w:t>
      </w:r>
    </w:p>
    <w:p w:rsidR="0002219E" w:rsidRPr="00A00062" w:rsidRDefault="0002219E" w:rsidP="00D328AB">
      <w:pPr>
        <w:numPr>
          <w:ilvl w:val="1"/>
          <w:numId w:val="1"/>
        </w:numPr>
        <w:jc w:val="both"/>
        <w:rPr>
          <w:rFonts w:ascii="標楷體"/>
          <w:szCs w:val="24"/>
        </w:rPr>
      </w:pPr>
      <w:r>
        <w:rPr>
          <w:rFonts w:hint="eastAsia"/>
        </w:rPr>
        <w:t>民眾活動中心。</w:t>
      </w:r>
    </w:p>
    <w:p w:rsidR="0002219E" w:rsidRPr="00A00062" w:rsidRDefault="0002219E" w:rsidP="00D328AB">
      <w:pPr>
        <w:numPr>
          <w:ilvl w:val="1"/>
          <w:numId w:val="1"/>
        </w:numPr>
        <w:jc w:val="both"/>
        <w:rPr>
          <w:rFonts w:ascii="標楷體"/>
          <w:szCs w:val="24"/>
        </w:rPr>
      </w:pPr>
      <w:r>
        <w:rPr>
          <w:rFonts w:hint="eastAsia"/>
        </w:rPr>
        <w:t>非營利組織場所。</w:t>
      </w:r>
      <w:r>
        <w:t xml:space="preserve"> </w:t>
      </w:r>
    </w:p>
    <w:p w:rsidR="0002219E" w:rsidRPr="00A00062" w:rsidRDefault="0002219E" w:rsidP="00D328AB">
      <w:pPr>
        <w:numPr>
          <w:ilvl w:val="1"/>
          <w:numId w:val="1"/>
        </w:numPr>
        <w:jc w:val="both"/>
        <w:rPr>
          <w:rFonts w:ascii="標楷體"/>
          <w:szCs w:val="24"/>
        </w:rPr>
      </w:pPr>
      <w:r>
        <w:rPr>
          <w:rFonts w:hint="eastAsia"/>
        </w:rPr>
        <w:t>社會住宅。</w:t>
      </w:r>
    </w:p>
    <w:p w:rsidR="0002219E" w:rsidRDefault="0002219E" w:rsidP="00D328AB">
      <w:pPr>
        <w:numPr>
          <w:ilvl w:val="1"/>
          <w:numId w:val="1"/>
        </w:numPr>
        <w:jc w:val="both"/>
        <w:rPr>
          <w:rFonts w:ascii="標楷體"/>
          <w:szCs w:val="24"/>
        </w:rPr>
      </w:pPr>
      <w:r>
        <w:rPr>
          <w:rFonts w:hint="eastAsia"/>
        </w:rPr>
        <w:t>青年創業籌備空間：僅限提供青年創業籌備討論空間，不涉</w:t>
      </w:r>
      <w:r>
        <w:t xml:space="preserve"> </w:t>
      </w:r>
      <w:r>
        <w:rPr>
          <w:rFonts w:hint="eastAsia"/>
        </w:rPr>
        <w:t>及後</w:t>
      </w:r>
      <w:r>
        <w:rPr>
          <w:rFonts w:hint="eastAsia"/>
        </w:rPr>
        <w:lastRenderedPageBreak/>
        <w:t>續商業營利使用用途。</w:t>
      </w:r>
      <w:r>
        <w:t xml:space="preserve"> </w:t>
      </w:r>
    </w:p>
    <w:p w:rsidR="0002219E" w:rsidRPr="003E2F96" w:rsidRDefault="0002219E" w:rsidP="00D328AB">
      <w:pPr>
        <w:numPr>
          <w:ilvl w:val="1"/>
          <w:numId w:val="1"/>
        </w:numPr>
        <w:jc w:val="both"/>
        <w:rPr>
          <w:rFonts w:ascii="標楷體"/>
          <w:szCs w:val="24"/>
        </w:rPr>
      </w:pPr>
      <w:r>
        <w:rPr>
          <w:rFonts w:hint="eastAsia"/>
        </w:rPr>
        <w:t>實驗教育：限學校型態實驗教育實施條例第十四條第三項及高級中等以下教育階段非學校型態實驗教育實施條例</w:t>
      </w:r>
      <w:r>
        <w:t xml:space="preserve"> </w:t>
      </w:r>
      <w:r>
        <w:rPr>
          <w:rFonts w:hint="eastAsia"/>
        </w:rPr>
        <w:t>第七條第二項規定之實驗教育使用範圍。</w:t>
      </w:r>
    </w:p>
    <w:p w:rsidR="0002219E" w:rsidRPr="003E2F96" w:rsidRDefault="0002219E" w:rsidP="00D328AB">
      <w:pPr>
        <w:numPr>
          <w:ilvl w:val="0"/>
          <w:numId w:val="1"/>
        </w:numPr>
        <w:jc w:val="both"/>
        <w:rPr>
          <w:rFonts w:ascii="標楷體"/>
          <w:szCs w:val="24"/>
        </w:rPr>
      </w:pPr>
      <w:r w:rsidRPr="003E2F96">
        <w:rPr>
          <w:rFonts w:ascii="標楷體" w:hAnsi="標楷體" w:hint="eastAsia"/>
          <w:szCs w:val="24"/>
        </w:rPr>
        <w:t>學校應於每年十月依教育部國民中小學設備基準核算教學空間、服務教學空間、行政空間及其他空間；並視需要，辦理不定期之清查及檢討。</w:t>
      </w:r>
    </w:p>
    <w:p w:rsidR="0002219E" w:rsidRPr="003E2F96" w:rsidRDefault="0002219E" w:rsidP="00D328AB">
      <w:pPr>
        <w:numPr>
          <w:ilvl w:val="0"/>
          <w:numId w:val="1"/>
        </w:numPr>
        <w:jc w:val="both"/>
        <w:rPr>
          <w:rFonts w:ascii="標楷體"/>
          <w:szCs w:val="24"/>
        </w:rPr>
      </w:pPr>
      <w:r w:rsidRPr="003E2F96">
        <w:rPr>
          <w:rFonts w:ascii="標楷體" w:hAnsi="標楷體" w:hint="eastAsia"/>
          <w:szCs w:val="24"/>
        </w:rPr>
        <w:t>學校應透過定期檢視、集中配置、評估用途等歷程，妥適運用餘裕空間，發揮最大教育經濟效益。</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定期檢視校園空間多元活化利用情形、建立耐震評估及建（使）照資料等建物履歷、更新餘裕空間資料庫。</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配合次學年度班級數及教師員額數之核定、年度修建工程規劃案等，通盤檢視並調整校舍空間配置。</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擬訂</w:t>
      </w:r>
      <w:r>
        <w:rPr>
          <w:rFonts w:ascii="標楷體" w:hAnsi="標楷體" w:hint="eastAsia"/>
          <w:szCs w:val="24"/>
        </w:rPr>
        <w:t>餘裕空間</w:t>
      </w:r>
      <w:r w:rsidRPr="003E2F96">
        <w:rPr>
          <w:rFonts w:ascii="標楷體" w:hAnsi="標楷體" w:hint="eastAsia"/>
          <w:szCs w:val="24"/>
        </w:rPr>
        <w:t>集中配置規劃書，針對餘裕空間能落實數量清查、辦理集中配置、建立建物履歷、說明未來規劃及研擬配置進度。</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學校應籌組校園餘裕空間活化小組（以下簡稱活化小組），在不影響教學及生活管理之原則下，依據可釋放空間條件，主動評估可供以教育性質為目的之多元活化利用方式，並統籌辦理研擬活化方案、辦理會勘及審核申請等各項活化利用事宜。</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學校得依據校務發展需求及強化發展學校特色課程，研擬校園餘裕空間多元活化方案專案報送本府，或因應需求租（借）用單位提出申請案及配合本府教育政策及重大政策等多元管道，妥適規劃活化利用。</w:t>
      </w:r>
    </w:p>
    <w:p w:rsidR="0002219E" w:rsidRPr="003E2F96" w:rsidRDefault="0002219E" w:rsidP="00D328AB">
      <w:pPr>
        <w:numPr>
          <w:ilvl w:val="0"/>
          <w:numId w:val="1"/>
        </w:numPr>
        <w:jc w:val="both"/>
        <w:rPr>
          <w:rFonts w:ascii="標楷體"/>
          <w:szCs w:val="24"/>
        </w:rPr>
      </w:pPr>
      <w:r w:rsidRPr="003E2F96">
        <w:rPr>
          <w:rFonts w:ascii="標楷體" w:hAnsi="標楷體" w:hint="eastAsia"/>
          <w:szCs w:val="24"/>
        </w:rPr>
        <w:t>學校辦理餘裕空間活化，應先透過會勘場地確認需求、多元參與凝聚共識後辦理。其實施流程說明如下：</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學校自主規劃之活化方案，經活化小組研擬及審核後，專案報送本府核定後確實執行，並陳報執行成果。</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學校接獲其他單位提出之租（借）用申請，應召集活化小組會同需求單位辦理會勘並審核申請書；基於公共利益需求與配合本府重大政策及社區發展，由</w:t>
      </w:r>
      <w:r>
        <w:rPr>
          <w:rFonts w:ascii="標楷體" w:hAnsi="標楷體" w:hint="eastAsia"/>
          <w:szCs w:val="24"/>
        </w:rPr>
        <w:t>本府</w:t>
      </w:r>
      <w:r w:rsidRPr="003E2F96">
        <w:rPr>
          <w:rFonts w:ascii="標楷體" w:hAnsi="標楷體" w:hint="eastAsia"/>
          <w:szCs w:val="24"/>
        </w:rPr>
        <w:t>相關局處引薦媒合之租（借）用活化方案，除依前開程序辦理會勘及審核外，並視需要由本府相關局處會同學校專案辦理。</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學校餘裕空間之租（借）用及收費依本縣各國民中小學場所使用管理規則等相關規定辦理。</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有關校園餘裕空間活化利用之申請、審核及標準作業流程等相關表件，由本府另定。</w:t>
      </w:r>
    </w:p>
    <w:p w:rsidR="0002219E" w:rsidRPr="003E2F96" w:rsidRDefault="0002219E" w:rsidP="00D328AB">
      <w:pPr>
        <w:numPr>
          <w:ilvl w:val="0"/>
          <w:numId w:val="1"/>
        </w:numPr>
        <w:jc w:val="both"/>
        <w:rPr>
          <w:rFonts w:ascii="標楷體"/>
          <w:szCs w:val="24"/>
        </w:rPr>
      </w:pPr>
      <w:r w:rsidRPr="003E2F96">
        <w:rPr>
          <w:rFonts w:ascii="標楷體" w:hAnsi="標楷體" w:hint="eastAsia"/>
          <w:szCs w:val="24"/>
        </w:rPr>
        <w:t>學校辦理餘裕空間多元活化，有下列情形之一者，由本府專案辦理獎懲：</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釋出餘裕空間，提供作為落實本縣教育政策、發展學校特色課程及配合本縣重大政策、社會發展及社區需求等多元活化用途，積極配合或績效顯著，本府將從優辦理敘獎。</w:t>
      </w:r>
    </w:p>
    <w:p w:rsidR="0002219E" w:rsidRPr="003E2F96" w:rsidRDefault="0002219E" w:rsidP="00D328AB">
      <w:pPr>
        <w:numPr>
          <w:ilvl w:val="1"/>
          <w:numId w:val="1"/>
        </w:numPr>
        <w:jc w:val="both"/>
        <w:rPr>
          <w:rFonts w:ascii="標楷體"/>
          <w:szCs w:val="24"/>
        </w:rPr>
      </w:pPr>
      <w:r w:rsidRPr="003E2F96">
        <w:rPr>
          <w:rFonts w:ascii="標楷體" w:hAnsi="標楷體" w:hint="eastAsia"/>
          <w:szCs w:val="24"/>
        </w:rPr>
        <w:t>有餘裕空間隱匿不報或無正當理由拒絕配合辦理餘裕空間多元活化，</w:t>
      </w:r>
      <w:r w:rsidRPr="003E2F96">
        <w:rPr>
          <w:rFonts w:ascii="標楷體" w:hAnsi="標楷體" w:hint="eastAsia"/>
          <w:szCs w:val="24"/>
        </w:rPr>
        <w:lastRenderedPageBreak/>
        <w:t>本府將予以檢討相關責任。</w:t>
      </w:r>
    </w:p>
    <w:sectPr w:rsidR="0002219E" w:rsidRPr="003E2F96" w:rsidSect="00361493">
      <w:footerReference w:type="default" r:id="rId8"/>
      <w:pgSz w:w="11906" w:h="16838"/>
      <w:pgMar w:top="899"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12B" w:rsidRDefault="0049412B" w:rsidP="00DF0111">
      <w:r>
        <w:separator/>
      </w:r>
    </w:p>
  </w:endnote>
  <w:endnote w:type="continuationSeparator" w:id="0">
    <w:p w:rsidR="0049412B" w:rsidRDefault="0049412B" w:rsidP="00DF0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19E" w:rsidRDefault="0049412B">
    <w:pPr>
      <w:pStyle w:val="a8"/>
      <w:jc w:val="center"/>
    </w:pPr>
    <w:r>
      <w:fldChar w:fldCharType="begin"/>
    </w:r>
    <w:r>
      <w:instrText>PAGE   \* MERGEFORMAT</w:instrText>
    </w:r>
    <w:r>
      <w:fldChar w:fldCharType="separate"/>
    </w:r>
    <w:r w:rsidR="00527320" w:rsidRPr="00527320">
      <w:rPr>
        <w:noProof/>
        <w:lang w:val="zh-TW"/>
      </w:rPr>
      <w:t>1</w:t>
    </w:r>
    <w:r>
      <w:rPr>
        <w:noProof/>
        <w:lang w:val="zh-TW"/>
      </w:rPr>
      <w:fldChar w:fldCharType="end"/>
    </w:r>
  </w:p>
  <w:p w:rsidR="0002219E" w:rsidRDefault="0002219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12B" w:rsidRDefault="0049412B" w:rsidP="00DF0111">
      <w:r>
        <w:separator/>
      </w:r>
    </w:p>
  </w:footnote>
  <w:footnote w:type="continuationSeparator" w:id="0">
    <w:p w:rsidR="0049412B" w:rsidRDefault="0049412B" w:rsidP="00DF01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34048"/>
    <w:multiLevelType w:val="multilevel"/>
    <w:tmpl w:val="26BC5E64"/>
    <w:lvl w:ilvl="0">
      <w:start w:val="1"/>
      <w:numFmt w:val="taiwaneseCountingThousand"/>
      <w:lvlText w:val="%1、"/>
      <w:lvlJc w:val="left"/>
      <w:pPr>
        <w:ind w:left="870" w:hanging="510"/>
      </w:pPr>
      <w:rPr>
        <w:rFonts w:ascii="標楷體" w:eastAsia="標楷體" w:hAnsi="標楷體" w:cs="標楷體" w:hint="eastAsia"/>
        <w:spacing w:val="-20"/>
        <w:kern w:val="0"/>
        <w:position w:val="0"/>
        <w:sz w:val="24"/>
        <w:szCs w:val="24"/>
      </w:rPr>
    </w:lvl>
    <w:lvl w:ilvl="1">
      <w:start w:val="1"/>
      <w:numFmt w:val="taiwaneseCountingThousand"/>
      <w:lvlText w:val="(%2)"/>
      <w:lvlJc w:val="left"/>
      <w:pPr>
        <w:tabs>
          <w:tab w:val="num" w:pos="180"/>
        </w:tabs>
        <w:ind w:left="1050" w:hanging="510"/>
      </w:pPr>
      <w:rPr>
        <w:rFonts w:ascii="標楷體" w:eastAsia="標楷體" w:hAnsi="標楷體" w:cs="標楷體" w:hint="eastAsia"/>
        <w:spacing w:val="-20"/>
        <w:kern w:val="0"/>
        <w:position w:val="0"/>
        <w:sz w:val="24"/>
        <w:szCs w:val="24"/>
      </w:rPr>
    </w:lvl>
    <w:lvl w:ilvl="2">
      <w:start w:val="1"/>
      <w:numFmt w:val="taiwaneseCountingThousand"/>
      <w:lvlText w:val="（%3）"/>
      <w:lvlJc w:val="left"/>
      <w:pPr>
        <w:tabs>
          <w:tab w:val="num" w:pos="1680"/>
        </w:tabs>
        <w:ind w:left="1680" w:hanging="720"/>
      </w:pPr>
      <w:rPr>
        <w:rFonts w:hAnsi="標楷體" w:cs="Times New Roman" w:hint="default"/>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nsid w:val="327D3422"/>
    <w:multiLevelType w:val="multilevel"/>
    <w:tmpl w:val="90EE70FC"/>
    <w:lvl w:ilvl="0">
      <w:start w:val="1"/>
      <w:numFmt w:val="taiwaneseCountingThousand"/>
      <w:lvlText w:val="%1、"/>
      <w:lvlJc w:val="left"/>
      <w:pPr>
        <w:ind w:left="870" w:hanging="510"/>
      </w:pPr>
      <w:rPr>
        <w:rFonts w:ascii="標楷體" w:eastAsia="標楷體" w:hAnsi="標楷體" w:cs="標楷體" w:hint="eastAsia"/>
        <w:spacing w:val="-20"/>
        <w:kern w:val="0"/>
        <w:position w:val="0"/>
        <w:sz w:val="24"/>
        <w:szCs w:val="24"/>
      </w:rPr>
    </w:lvl>
    <w:lvl w:ilvl="1">
      <w:start w:val="1"/>
      <w:numFmt w:val="taiwaneseCountingThousand"/>
      <w:lvlText w:val="(%2)"/>
      <w:lvlJc w:val="left"/>
      <w:pPr>
        <w:tabs>
          <w:tab w:val="num" w:pos="180"/>
        </w:tabs>
        <w:ind w:left="1050" w:hanging="510"/>
      </w:pPr>
      <w:rPr>
        <w:rFonts w:ascii="標楷體" w:eastAsia="標楷體" w:hAnsi="標楷體" w:cs="標楷體" w:hint="eastAsia"/>
        <w:spacing w:val="-20"/>
        <w:kern w:val="0"/>
        <w:position w:val="0"/>
        <w:sz w:val="24"/>
        <w:szCs w:val="24"/>
      </w:rPr>
    </w:lvl>
    <w:lvl w:ilvl="2">
      <w:start w:val="1"/>
      <w:numFmt w:val="taiwaneseCountingThousand"/>
      <w:lvlText w:val="（%3）"/>
      <w:lvlJc w:val="left"/>
      <w:pPr>
        <w:tabs>
          <w:tab w:val="num" w:pos="1680"/>
        </w:tabs>
        <w:ind w:left="1680" w:hanging="720"/>
      </w:pPr>
      <w:rPr>
        <w:rFonts w:hAnsi="標楷體" w:cs="Times New Roman" w:hint="default"/>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
    <w:nsid w:val="50B6263A"/>
    <w:multiLevelType w:val="hybridMultilevel"/>
    <w:tmpl w:val="018A59E0"/>
    <w:lvl w:ilvl="0" w:tplc="867CCD3C">
      <w:start w:val="1"/>
      <w:numFmt w:val="taiwaneseCountingThousand"/>
      <w:lvlText w:val="%1、"/>
      <w:lvlJc w:val="left"/>
      <w:pPr>
        <w:tabs>
          <w:tab w:val="num" w:pos="460"/>
        </w:tabs>
        <w:ind w:left="460" w:hanging="460"/>
      </w:pPr>
      <w:rPr>
        <w:rFonts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54A45DD9"/>
    <w:multiLevelType w:val="hybridMultilevel"/>
    <w:tmpl w:val="8DE2B74A"/>
    <w:lvl w:ilvl="0" w:tplc="9E8023FC">
      <w:start w:val="1"/>
      <w:numFmt w:val="taiwaneseCountingThousand"/>
      <w:lvlText w:val="%1、"/>
      <w:lvlJc w:val="left"/>
      <w:pPr>
        <w:ind w:left="870" w:hanging="510"/>
      </w:pPr>
      <w:rPr>
        <w:rFonts w:ascii="標楷體" w:eastAsia="標楷體" w:hAnsi="標楷體" w:cs="標楷體" w:hint="eastAsia"/>
        <w:spacing w:val="-20"/>
        <w:kern w:val="0"/>
        <w:position w:val="0"/>
        <w:sz w:val="24"/>
        <w:szCs w:val="24"/>
      </w:rPr>
    </w:lvl>
    <w:lvl w:ilvl="1" w:tplc="0512C7FE">
      <w:start w:val="1"/>
      <w:numFmt w:val="taiwaneseCountingThousand"/>
      <w:lvlText w:val="(%2)"/>
      <w:lvlJc w:val="left"/>
      <w:pPr>
        <w:tabs>
          <w:tab w:val="num" w:pos="180"/>
        </w:tabs>
        <w:ind w:left="1050" w:hanging="510"/>
      </w:pPr>
      <w:rPr>
        <w:rFonts w:ascii="標楷體" w:eastAsia="標楷體" w:hAnsi="標楷體" w:cs="標楷體" w:hint="eastAsia"/>
        <w:spacing w:val="-20"/>
        <w:kern w:val="0"/>
        <w:position w:val="0"/>
        <w:sz w:val="24"/>
        <w:szCs w:val="24"/>
      </w:rPr>
    </w:lvl>
    <w:lvl w:ilvl="2" w:tplc="A71412F0">
      <w:start w:val="1"/>
      <w:numFmt w:val="taiwaneseCountingThousand"/>
      <w:lvlText w:val="（%3）"/>
      <w:lvlJc w:val="left"/>
      <w:pPr>
        <w:tabs>
          <w:tab w:val="num" w:pos="1680"/>
        </w:tabs>
        <w:ind w:left="1680" w:hanging="720"/>
      </w:pPr>
      <w:rPr>
        <w:rFonts w:hAnsi="標楷體"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111"/>
    <w:rsid w:val="0001045E"/>
    <w:rsid w:val="0002219E"/>
    <w:rsid w:val="000272F1"/>
    <w:rsid w:val="000A2EFB"/>
    <w:rsid w:val="000F1C6F"/>
    <w:rsid w:val="000F458B"/>
    <w:rsid w:val="00127122"/>
    <w:rsid w:val="00143664"/>
    <w:rsid w:val="001522CB"/>
    <w:rsid w:val="001909D1"/>
    <w:rsid w:val="001A1A56"/>
    <w:rsid w:val="001D21D3"/>
    <w:rsid w:val="001D77AA"/>
    <w:rsid w:val="001F074A"/>
    <w:rsid w:val="002353C9"/>
    <w:rsid w:val="002378FF"/>
    <w:rsid w:val="00271678"/>
    <w:rsid w:val="00286816"/>
    <w:rsid w:val="002B1C13"/>
    <w:rsid w:val="00300BFA"/>
    <w:rsid w:val="00302B7E"/>
    <w:rsid w:val="0031453E"/>
    <w:rsid w:val="003210FD"/>
    <w:rsid w:val="00345AE3"/>
    <w:rsid w:val="00361493"/>
    <w:rsid w:val="003E2F96"/>
    <w:rsid w:val="00430729"/>
    <w:rsid w:val="004659AA"/>
    <w:rsid w:val="0049412B"/>
    <w:rsid w:val="004B4B5A"/>
    <w:rsid w:val="00512642"/>
    <w:rsid w:val="00527320"/>
    <w:rsid w:val="005529CC"/>
    <w:rsid w:val="005C2AF4"/>
    <w:rsid w:val="005C4B66"/>
    <w:rsid w:val="005C79C8"/>
    <w:rsid w:val="005E441C"/>
    <w:rsid w:val="00630F97"/>
    <w:rsid w:val="00681A34"/>
    <w:rsid w:val="006F1523"/>
    <w:rsid w:val="00767124"/>
    <w:rsid w:val="007B5E1E"/>
    <w:rsid w:val="007F4352"/>
    <w:rsid w:val="0080746F"/>
    <w:rsid w:val="00816EF6"/>
    <w:rsid w:val="0082531E"/>
    <w:rsid w:val="008649E5"/>
    <w:rsid w:val="008930C6"/>
    <w:rsid w:val="00893D06"/>
    <w:rsid w:val="008C5812"/>
    <w:rsid w:val="00985FA1"/>
    <w:rsid w:val="00994223"/>
    <w:rsid w:val="00A00062"/>
    <w:rsid w:val="00A30DFC"/>
    <w:rsid w:val="00AA5EA9"/>
    <w:rsid w:val="00AA7211"/>
    <w:rsid w:val="00AC64E9"/>
    <w:rsid w:val="00AD5339"/>
    <w:rsid w:val="00AF24DE"/>
    <w:rsid w:val="00AF368D"/>
    <w:rsid w:val="00B40151"/>
    <w:rsid w:val="00B54D1D"/>
    <w:rsid w:val="00B72AD3"/>
    <w:rsid w:val="00BB4ADB"/>
    <w:rsid w:val="00BD210F"/>
    <w:rsid w:val="00BD2CCD"/>
    <w:rsid w:val="00BF199C"/>
    <w:rsid w:val="00C1468A"/>
    <w:rsid w:val="00C35510"/>
    <w:rsid w:val="00C60611"/>
    <w:rsid w:val="00C63BC2"/>
    <w:rsid w:val="00CC3B9D"/>
    <w:rsid w:val="00D137D8"/>
    <w:rsid w:val="00D15356"/>
    <w:rsid w:val="00D26FB5"/>
    <w:rsid w:val="00D328AB"/>
    <w:rsid w:val="00D64CE2"/>
    <w:rsid w:val="00D66E53"/>
    <w:rsid w:val="00DD0FF2"/>
    <w:rsid w:val="00DF0111"/>
    <w:rsid w:val="00E35C56"/>
    <w:rsid w:val="00E56D61"/>
    <w:rsid w:val="00E90DD5"/>
    <w:rsid w:val="00E97126"/>
    <w:rsid w:val="00F17DE2"/>
    <w:rsid w:val="00F85862"/>
    <w:rsid w:val="00FA6949"/>
    <w:rsid w:val="00FC0102"/>
    <w:rsid w:val="00FC6A43"/>
    <w:rsid w:val="00FD28B6"/>
    <w:rsid w:val="00FD33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1D3"/>
    <w:pPr>
      <w:widowControl w:val="0"/>
    </w:pPr>
    <w:rPr>
      <w:rFonts w:eastAsia="標楷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99"/>
    <w:qFormat/>
    <w:rsid w:val="001D21D3"/>
    <w:rPr>
      <w:rFonts w:cs="Times New Roman"/>
      <w:i/>
      <w:iCs/>
    </w:rPr>
  </w:style>
  <w:style w:type="paragraph" w:styleId="a4">
    <w:name w:val="List Paragraph"/>
    <w:basedOn w:val="a"/>
    <w:uiPriority w:val="99"/>
    <w:qFormat/>
    <w:rsid w:val="001D21D3"/>
    <w:pPr>
      <w:ind w:leftChars="200" w:left="480"/>
    </w:pPr>
  </w:style>
  <w:style w:type="paragraph" w:styleId="HTML">
    <w:name w:val="HTML Preformatted"/>
    <w:basedOn w:val="a"/>
    <w:link w:val="HTML0"/>
    <w:uiPriority w:val="99"/>
    <w:rsid w:val="00DF01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locked/>
    <w:rsid w:val="00DF0111"/>
    <w:rPr>
      <w:rFonts w:ascii="細明體" w:eastAsia="細明體" w:hAnsi="細明體" w:cs="細明體"/>
      <w:kern w:val="0"/>
      <w:sz w:val="24"/>
      <w:szCs w:val="24"/>
    </w:rPr>
  </w:style>
  <w:style w:type="character" w:styleId="a5">
    <w:name w:val="Hyperlink"/>
    <w:basedOn w:val="a0"/>
    <w:uiPriority w:val="99"/>
    <w:semiHidden/>
    <w:rsid w:val="00DF0111"/>
    <w:rPr>
      <w:rFonts w:cs="Times New Roman"/>
      <w:color w:val="0000FF"/>
      <w:u w:val="single"/>
    </w:rPr>
  </w:style>
  <w:style w:type="paragraph" w:styleId="a6">
    <w:name w:val="header"/>
    <w:basedOn w:val="a"/>
    <w:link w:val="a7"/>
    <w:uiPriority w:val="99"/>
    <w:rsid w:val="00DF0111"/>
    <w:pPr>
      <w:tabs>
        <w:tab w:val="center" w:pos="4153"/>
        <w:tab w:val="right" w:pos="8306"/>
      </w:tabs>
      <w:snapToGrid w:val="0"/>
    </w:pPr>
    <w:rPr>
      <w:sz w:val="20"/>
      <w:szCs w:val="20"/>
    </w:rPr>
  </w:style>
  <w:style w:type="character" w:customStyle="1" w:styleId="a7">
    <w:name w:val="頁首 字元"/>
    <w:basedOn w:val="a0"/>
    <w:link w:val="a6"/>
    <w:uiPriority w:val="99"/>
    <w:locked/>
    <w:rsid w:val="00DF0111"/>
    <w:rPr>
      <w:rFonts w:eastAsia="標楷體" w:cs="Times New Roman"/>
      <w:sz w:val="20"/>
      <w:szCs w:val="20"/>
    </w:rPr>
  </w:style>
  <w:style w:type="paragraph" w:styleId="a8">
    <w:name w:val="footer"/>
    <w:basedOn w:val="a"/>
    <w:link w:val="a9"/>
    <w:uiPriority w:val="99"/>
    <w:rsid w:val="00DF0111"/>
    <w:pPr>
      <w:tabs>
        <w:tab w:val="center" w:pos="4153"/>
        <w:tab w:val="right" w:pos="8306"/>
      </w:tabs>
      <w:snapToGrid w:val="0"/>
    </w:pPr>
    <w:rPr>
      <w:sz w:val="20"/>
      <w:szCs w:val="20"/>
    </w:rPr>
  </w:style>
  <w:style w:type="character" w:customStyle="1" w:styleId="a9">
    <w:name w:val="頁尾 字元"/>
    <w:basedOn w:val="a0"/>
    <w:link w:val="a8"/>
    <w:uiPriority w:val="99"/>
    <w:locked/>
    <w:rsid w:val="00DF0111"/>
    <w:rPr>
      <w:rFonts w:eastAsia="標楷體" w:cs="Times New Roman"/>
      <w:sz w:val="20"/>
      <w:szCs w:val="20"/>
    </w:rPr>
  </w:style>
  <w:style w:type="paragraph" w:styleId="aa">
    <w:name w:val="Balloon Text"/>
    <w:basedOn w:val="a"/>
    <w:link w:val="ab"/>
    <w:uiPriority w:val="99"/>
    <w:semiHidden/>
    <w:rsid w:val="003E2F96"/>
    <w:rPr>
      <w:rFonts w:ascii="Arial" w:eastAsia="新細明體" w:hAnsi="Arial"/>
      <w:sz w:val="18"/>
      <w:szCs w:val="18"/>
    </w:rPr>
  </w:style>
  <w:style w:type="character" w:customStyle="1" w:styleId="ab">
    <w:name w:val="註解方塊文字 字元"/>
    <w:basedOn w:val="a0"/>
    <w:link w:val="aa"/>
    <w:uiPriority w:val="99"/>
    <w:semiHidden/>
    <w:locked/>
    <w:rsid w:val="0001045E"/>
    <w:rPr>
      <w:rFonts w:ascii="Cambria" w:eastAsia="新細明體" w:hAnsi="Cambria" w:cs="Times New Roman"/>
      <w:sz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1D3"/>
    <w:pPr>
      <w:widowControl w:val="0"/>
    </w:pPr>
    <w:rPr>
      <w:rFonts w:eastAsia="標楷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99"/>
    <w:qFormat/>
    <w:rsid w:val="001D21D3"/>
    <w:rPr>
      <w:rFonts w:cs="Times New Roman"/>
      <w:i/>
      <w:iCs/>
    </w:rPr>
  </w:style>
  <w:style w:type="paragraph" w:styleId="a4">
    <w:name w:val="List Paragraph"/>
    <w:basedOn w:val="a"/>
    <w:uiPriority w:val="99"/>
    <w:qFormat/>
    <w:rsid w:val="001D21D3"/>
    <w:pPr>
      <w:ind w:leftChars="200" w:left="480"/>
    </w:pPr>
  </w:style>
  <w:style w:type="paragraph" w:styleId="HTML">
    <w:name w:val="HTML Preformatted"/>
    <w:basedOn w:val="a"/>
    <w:link w:val="HTML0"/>
    <w:uiPriority w:val="99"/>
    <w:rsid w:val="00DF01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locked/>
    <w:rsid w:val="00DF0111"/>
    <w:rPr>
      <w:rFonts w:ascii="細明體" w:eastAsia="細明體" w:hAnsi="細明體" w:cs="細明體"/>
      <w:kern w:val="0"/>
      <w:sz w:val="24"/>
      <w:szCs w:val="24"/>
    </w:rPr>
  </w:style>
  <w:style w:type="character" w:styleId="a5">
    <w:name w:val="Hyperlink"/>
    <w:basedOn w:val="a0"/>
    <w:uiPriority w:val="99"/>
    <w:semiHidden/>
    <w:rsid w:val="00DF0111"/>
    <w:rPr>
      <w:rFonts w:cs="Times New Roman"/>
      <w:color w:val="0000FF"/>
      <w:u w:val="single"/>
    </w:rPr>
  </w:style>
  <w:style w:type="paragraph" w:styleId="a6">
    <w:name w:val="header"/>
    <w:basedOn w:val="a"/>
    <w:link w:val="a7"/>
    <w:uiPriority w:val="99"/>
    <w:rsid w:val="00DF0111"/>
    <w:pPr>
      <w:tabs>
        <w:tab w:val="center" w:pos="4153"/>
        <w:tab w:val="right" w:pos="8306"/>
      </w:tabs>
      <w:snapToGrid w:val="0"/>
    </w:pPr>
    <w:rPr>
      <w:sz w:val="20"/>
      <w:szCs w:val="20"/>
    </w:rPr>
  </w:style>
  <w:style w:type="character" w:customStyle="1" w:styleId="a7">
    <w:name w:val="頁首 字元"/>
    <w:basedOn w:val="a0"/>
    <w:link w:val="a6"/>
    <w:uiPriority w:val="99"/>
    <w:locked/>
    <w:rsid w:val="00DF0111"/>
    <w:rPr>
      <w:rFonts w:eastAsia="標楷體" w:cs="Times New Roman"/>
      <w:sz w:val="20"/>
      <w:szCs w:val="20"/>
    </w:rPr>
  </w:style>
  <w:style w:type="paragraph" w:styleId="a8">
    <w:name w:val="footer"/>
    <w:basedOn w:val="a"/>
    <w:link w:val="a9"/>
    <w:uiPriority w:val="99"/>
    <w:rsid w:val="00DF0111"/>
    <w:pPr>
      <w:tabs>
        <w:tab w:val="center" w:pos="4153"/>
        <w:tab w:val="right" w:pos="8306"/>
      </w:tabs>
      <w:snapToGrid w:val="0"/>
    </w:pPr>
    <w:rPr>
      <w:sz w:val="20"/>
      <w:szCs w:val="20"/>
    </w:rPr>
  </w:style>
  <w:style w:type="character" w:customStyle="1" w:styleId="a9">
    <w:name w:val="頁尾 字元"/>
    <w:basedOn w:val="a0"/>
    <w:link w:val="a8"/>
    <w:uiPriority w:val="99"/>
    <w:locked/>
    <w:rsid w:val="00DF0111"/>
    <w:rPr>
      <w:rFonts w:eastAsia="標楷體" w:cs="Times New Roman"/>
      <w:sz w:val="20"/>
      <w:szCs w:val="20"/>
    </w:rPr>
  </w:style>
  <w:style w:type="paragraph" w:styleId="aa">
    <w:name w:val="Balloon Text"/>
    <w:basedOn w:val="a"/>
    <w:link w:val="ab"/>
    <w:uiPriority w:val="99"/>
    <w:semiHidden/>
    <w:rsid w:val="003E2F96"/>
    <w:rPr>
      <w:rFonts w:ascii="Arial" w:eastAsia="新細明體" w:hAnsi="Arial"/>
      <w:sz w:val="18"/>
      <w:szCs w:val="18"/>
    </w:rPr>
  </w:style>
  <w:style w:type="character" w:customStyle="1" w:styleId="ab">
    <w:name w:val="註解方塊文字 字元"/>
    <w:basedOn w:val="a0"/>
    <w:link w:val="aa"/>
    <w:uiPriority w:val="99"/>
    <w:semiHidden/>
    <w:locked/>
    <w:rsid w:val="0001045E"/>
    <w:rPr>
      <w:rFonts w:ascii="Cambria" w:eastAsia="新細明體" w:hAnsi="Cambria" w:cs="Times New Roman"/>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775260">
      <w:marLeft w:val="0"/>
      <w:marRight w:val="0"/>
      <w:marTop w:val="0"/>
      <w:marBottom w:val="0"/>
      <w:divBdr>
        <w:top w:val="none" w:sz="0" w:space="0" w:color="auto"/>
        <w:left w:val="none" w:sz="0" w:space="0" w:color="auto"/>
        <w:bottom w:val="none" w:sz="0" w:space="0" w:color="auto"/>
        <w:right w:val="none" w:sz="0" w:space="0" w:color="auto"/>
      </w:divBdr>
    </w:div>
    <w:div w:id="35477526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283</Words>
  <Characters>1615</Characters>
  <Application>Microsoft Office Word</Application>
  <DocSecurity>0</DocSecurity>
  <Lines>13</Lines>
  <Paragraphs>3</Paragraphs>
  <ScaleCrop>false</ScaleCrop>
  <Company/>
  <LinksUpToDate>false</LinksUpToDate>
  <CharactersWithSpaces>1895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南投縣國民中小學校園餘裕空間活化實施要點(草案)</dc:title>
  <dc:creator>ASUSPC</dc:creator>
  <cp:lastModifiedBy>USER</cp:lastModifiedBy>
  <cp:revision>7</cp:revision>
  <cp:lastPrinted>2016-01-26T08:53:00Z</cp:lastPrinted>
  <dcterms:created xsi:type="dcterms:W3CDTF">2016-02-17T07:14:00Z</dcterms:created>
  <dcterms:modified xsi:type="dcterms:W3CDTF">2016-02-17T07:23:00Z</dcterms:modified>
</cp:coreProperties>
</file>